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D8" w:rsidRPr="000C03D8" w:rsidRDefault="000C03D8" w:rsidP="000C03D8">
      <w:pPr>
        <w:spacing w:after="0" w:line="240" w:lineRule="auto"/>
        <w:jc w:val="center"/>
        <w:rPr>
          <w:rFonts w:ascii="Times New Roman" w:hAnsi="Times New Roman" w:cs="Times New Roman"/>
          <w:b/>
          <w:sz w:val="32"/>
          <w:szCs w:val="24"/>
        </w:rPr>
      </w:pPr>
      <w:bookmarkStart w:id="0" w:name="_GoBack"/>
      <w:bookmarkEnd w:id="0"/>
      <w:r w:rsidRPr="000C03D8">
        <w:rPr>
          <w:rFonts w:ascii="Times New Roman" w:hAnsi="Times New Roman" w:cs="Times New Roman"/>
          <w:b/>
          <w:sz w:val="32"/>
          <w:szCs w:val="24"/>
        </w:rPr>
        <w:t>SAMPLE</w:t>
      </w:r>
    </w:p>
    <w:p w:rsidR="000C03D8" w:rsidRPr="000C03D8" w:rsidRDefault="000C03D8" w:rsidP="000C03D8">
      <w:pPr>
        <w:spacing w:after="0" w:line="240" w:lineRule="auto"/>
        <w:jc w:val="center"/>
        <w:rPr>
          <w:rFonts w:ascii="Times New Roman" w:hAnsi="Times New Roman" w:cs="Times New Roman"/>
          <w:b/>
          <w:sz w:val="32"/>
          <w:szCs w:val="24"/>
        </w:rPr>
      </w:pPr>
      <w:r w:rsidRPr="000C03D8">
        <w:rPr>
          <w:rFonts w:ascii="Times New Roman" w:hAnsi="Times New Roman" w:cs="Times New Roman"/>
          <w:b/>
          <w:sz w:val="32"/>
          <w:szCs w:val="24"/>
        </w:rPr>
        <w:t>Capitalization Policies for the Acquisition, Management, Repair and</w:t>
      </w:r>
    </w:p>
    <w:p w:rsidR="000C03D8" w:rsidRPr="000C03D8" w:rsidRDefault="000C03D8" w:rsidP="000C03D8">
      <w:pPr>
        <w:spacing w:after="0" w:line="240" w:lineRule="auto"/>
        <w:jc w:val="center"/>
        <w:rPr>
          <w:rFonts w:ascii="Times New Roman" w:hAnsi="Times New Roman" w:cs="Times New Roman"/>
          <w:b/>
          <w:sz w:val="32"/>
          <w:szCs w:val="24"/>
          <w:u w:val="single"/>
        </w:rPr>
      </w:pPr>
      <w:r w:rsidRPr="000C03D8">
        <w:rPr>
          <w:rFonts w:ascii="Times New Roman" w:hAnsi="Times New Roman" w:cs="Times New Roman"/>
          <w:b/>
          <w:sz w:val="32"/>
          <w:szCs w:val="24"/>
          <w:u w:val="single"/>
        </w:rPr>
        <w:t>Maintenance of Company-Owned Tangible Property</w:t>
      </w:r>
    </w:p>
    <w:p w:rsidR="000C03D8" w:rsidRPr="000C03D8" w:rsidRDefault="000C03D8" w:rsidP="000C03D8">
      <w:pPr>
        <w:spacing w:after="0" w:line="240" w:lineRule="auto"/>
        <w:jc w:val="center"/>
        <w:rPr>
          <w:rFonts w:ascii="Times New Roman" w:hAnsi="Times New Roman" w:cs="Times New Roman"/>
          <w:b/>
          <w:sz w:val="32"/>
          <w:szCs w:val="24"/>
        </w:rPr>
      </w:pPr>
    </w:p>
    <w:p w:rsidR="000C03D8" w:rsidRDefault="000C03D8" w:rsidP="000C03D8">
      <w:pPr>
        <w:spacing w:after="0" w:line="240" w:lineRule="auto"/>
        <w:rPr>
          <w:rFonts w:ascii="Times New Roman" w:hAnsi="Times New Roman" w:cs="Times New Roman"/>
          <w:b/>
          <w:sz w:val="32"/>
          <w:szCs w:val="24"/>
          <w:u w:val="single"/>
        </w:rPr>
      </w:pPr>
      <w:r w:rsidRPr="000C03D8">
        <w:rPr>
          <w:rFonts w:ascii="Times New Roman" w:hAnsi="Times New Roman" w:cs="Times New Roman"/>
          <w:b/>
          <w:sz w:val="32"/>
          <w:szCs w:val="24"/>
          <w:u w:val="single"/>
        </w:rPr>
        <w:t>Purpose:</w:t>
      </w:r>
    </w:p>
    <w:p w:rsidR="000C03D8" w:rsidRPr="000C03D8" w:rsidRDefault="000C03D8" w:rsidP="000C03D8">
      <w:pPr>
        <w:spacing w:after="0" w:line="240" w:lineRule="auto"/>
        <w:rPr>
          <w:rFonts w:ascii="Times New Roman" w:hAnsi="Times New Roman" w:cs="Times New Roman"/>
          <w:b/>
          <w:sz w:val="32"/>
          <w:szCs w:val="24"/>
          <w:u w:val="single"/>
        </w:rPr>
      </w:pPr>
    </w:p>
    <w:p w:rsidR="000C03D8" w:rsidRPr="000C03D8" w:rsidRDefault="000C03D8" w:rsidP="000C03D8">
      <w:pPr>
        <w:spacing w:after="0" w:line="240" w:lineRule="auto"/>
        <w:jc w:val="both"/>
        <w:rPr>
          <w:rFonts w:ascii="Times New Roman" w:hAnsi="Times New Roman" w:cs="Times New Roman"/>
          <w:sz w:val="24"/>
          <w:szCs w:val="24"/>
        </w:rPr>
      </w:pPr>
      <w:r w:rsidRPr="000C03D8">
        <w:rPr>
          <w:rFonts w:ascii="Times New Roman" w:hAnsi="Times New Roman" w:cs="Times New Roman"/>
          <w:sz w:val="24"/>
          <w:szCs w:val="24"/>
        </w:rPr>
        <w:t xml:space="preserve">These guidelines shall be observed by the management and staff of the company, who are directly concerned with the accounting and management of company-owned tangible property, in relation to all transactions related to the acquisition, maintenance, sale or other final disposition of such property. </w:t>
      </w:r>
    </w:p>
    <w:p w:rsidR="000C03D8" w:rsidRPr="000C03D8" w:rsidRDefault="000C03D8" w:rsidP="000C03D8">
      <w:pPr>
        <w:spacing w:after="0" w:line="240" w:lineRule="auto"/>
        <w:jc w:val="both"/>
        <w:rPr>
          <w:rFonts w:ascii="Times New Roman" w:hAnsi="Times New Roman" w:cs="Times New Roman"/>
          <w:sz w:val="24"/>
          <w:szCs w:val="24"/>
        </w:rPr>
      </w:pPr>
      <w:r w:rsidRPr="000C03D8">
        <w:rPr>
          <w:rFonts w:ascii="Times New Roman" w:hAnsi="Times New Roman" w:cs="Times New Roman"/>
          <w:sz w:val="24"/>
          <w:szCs w:val="24"/>
        </w:rPr>
        <w:t xml:space="preserve"> </w:t>
      </w:r>
    </w:p>
    <w:p w:rsidR="000C03D8" w:rsidRPr="000C03D8" w:rsidRDefault="000C03D8" w:rsidP="000C03D8">
      <w:pPr>
        <w:spacing w:after="0" w:line="240" w:lineRule="auto"/>
        <w:jc w:val="both"/>
        <w:rPr>
          <w:rFonts w:ascii="Times New Roman" w:hAnsi="Times New Roman" w:cs="Times New Roman"/>
          <w:sz w:val="24"/>
          <w:szCs w:val="24"/>
        </w:rPr>
      </w:pPr>
      <w:r w:rsidRPr="000C03D8">
        <w:rPr>
          <w:rFonts w:ascii="Times New Roman" w:hAnsi="Times New Roman" w:cs="Times New Roman"/>
          <w:sz w:val="24"/>
          <w:szCs w:val="24"/>
        </w:rPr>
        <w:t xml:space="preserve">The guidelines set forth in this document shall be known as the company's capitalization policies, and serve as the company's compliance with the Internal Revenue Code and the tangible property regulations promulgated thereunder. The guidelines are intended to be used for the company's </w:t>
      </w:r>
      <w:r>
        <w:rPr>
          <w:rFonts w:ascii="Times New Roman" w:hAnsi="Times New Roman" w:cs="Times New Roman"/>
          <w:sz w:val="24"/>
          <w:szCs w:val="24"/>
        </w:rPr>
        <w:t>f</w:t>
      </w:r>
      <w:r w:rsidRPr="000C03D8">
        <w:rPr>
          <w:rFonts w:ascii="Times New Roman" w:hAnsi="Times New Roman" w:cs="Times New Roman"/>
          <w:sz w:val="24"/>
          <w:szCs w:val="24"/>
        </w:rPr>
        <w:t xml:space="preserve">inancial accounting purposes. </w:t>
      </w:r>
    </w:p>
    <w:p w:rsidR="000C03D8" w:rsidRPr="000C03D8" w:rsidRDefault="000C03D8" w:rsidP="000C03D8">
      <w:pPr>
        <w:spacing w:after="0" w:line="240" w:lineRule="auto"/>
        <w:rPr>
          <w:rFonts w:ascii="Times New Roman" w:hAnsi="Times New Roman" w:cs="Times New Roman"/>
          <w:sz w:val="24"/>
          <w:szCs w:val="24"/>
        </w:rPr>
      </w:pPr>
      <w:r w:rsidRPr="000C03D8">
        <w:rPr>
          <w:rFonts w:ascii="Times New Roman" w:hAnsi="Times New Roman" w:cs="Times New Roman"/>
          <w:sz w:val="24"/>
          <w:szCs w:val="24"/>
        </w:rPr>
        <w:t xml:space="preserve"> </w:t>
      </w:r>
    </w:p>
    <w:p w:rsidR="000C03D8" w:rsidRDefault="000C03D8" w:rsidP="000C03D8">
      <w:pPr>
        <w:spacing w:after="0" w:line="240" w:lineRule="auto"/>
        <w:rPr>
          <w:rFonts w:ascii="Times New Roman" w:hAnsi="Times New Roman" w:cs="Times New Roman"/>
          <w:sz w:val="32"/>
          <w:szCs w:val="24"/>
          <w:u w:val="single"/>
        </w:rPr>
      </w:pPr>
      <w:r w:rsidRPr="000C03D8">
        <w:rPr>
          <w:rFonts w:ascii="Times New Roman" w:hAnsi="Times New Roman" w:cs="Times New Roman"/>
          <w:b/>
          <w:sz w:val="32"/>
          <w:szCs w:val="24"/>
          <w:u w:val="single"/>
        </w:rPr>
        <w:t>Tangible Property</w:t>
      </w:r>
      <w:r w:rsidRPr="000C03D8">
        <w:rPr>
          <w:rFonts w:ascii="Times New Roman" w:hAnsi="Times New Roman" w:cs="Times New Roman"/>
          <w:sz w:val="32"/>
          <w:szCs w:val="24"/>
          <w:u w:val="single"/>
        </w:rPr>
        <w:t>:</w:t>
      </w:r>
    </w:p>
    <w:p w:rsidR="000C03D8" w:rsidRPr="000C03D8" w:rsidRDefault="000C03D8" w:rsidP="000C03D8">
      <w:pPr>
        <w:spacing w:after="0" w:line="240" w:lineRule="auto"/>
        <w:rPr>
          <w:rFonts w:ascii="Times New Roman" w:hAnsi="Times New Roman" w:cs="Times New Roman"/>
          <w:sz w:val="32"/>
          <w:szCs w:val="24"/>
          <w:u w:val="single"/>
        </w:rPr>
      </w:pPr>
    </w:p>
    <w:p w:rsidR="000C03D8" w:rsidRPr="000C03D8" w:rsidRDefault="000C03D8" w:rsidP="000C03D8">
      <w:pPr>
        <w:spacing w:after="0" w:line="240" w:lineRule="auto"/>
        <w:jc w:val="both"/>
        <w:rPr>
          <w:rFonts w:ascii="Times New Roman" w:hAnsi="Times New Roman" w:cs="Times New Roman"/>
          <w:sz w:val="24"/>
          <w:szCs w:val="24"/>
        </w:rPr>
      </w:pPr>
      <w:r w:rsidRPr="000C03D8">
        <w:rPr>
          <w:rFonts w:ascii="Times New Roman" w:hAnsi="Times New Roman" w:cs="Times New Roman"/>
          <w:sz w:val="24"/>
          <w:szCs w:val="24"/>
        </w:rPr>
        <w:t>Refers to all tangible personal and real property acquired or produced by the company as implements, tools, materials, supplies, equipment, furniture, land, buildings,</w:t>
      </w:r>
      <w:r>
        <w:rPr>
          <w:rFonts w:ascii="Times New Roman" w:hAnsi="Times New Roman" w:cs="Times New Roman"/>
          <w:sz w:val="24"/>
          <w:szCs w:val="24"/>
        </w:rPr>
        <w:t xml:space="preserve"> </w:t>
      </w:r>
      <w:r w:rsidRPr="000C03D8">
        <w:rPr>
          <w:rFonts w:ascii="Times New Roman" w:hAnsi="Times New Roman" w:cs="Times New Roman"/>
          <w:sz w:val="24"/>
          <w:szCs w:val="24"/>
        </w:rPr>
        <w:t xml:space="preserve">and fixtures for its place(s) of business for the purpose of carrying out all aspects of business operations. </w:t>
      </w:r>
    </w:p>
    <w:p w:rsidR="000C03D8" w:rsidRDefault="000C03D8" w:rsidP="000C03D8">
      <w:pPr>
        <w:spacing w:after="0" w:line="240" w:lineRule="auto"/>
        <w:rPr>
          <w:rFonts w:ascii="Times New Roman" w:hAnsi="Times New Roman" w:cs="Times New Roman"/>
          <w:sz w:val="24"/>
          <w:szCs w:val="24"/>
        </w:rPr>
      </w:pPr>
      <w:r w:rsidRPr="000C03D8">
        <w:rPr>
          <w:rFonts w:ascii="Times New Roman" w:hAnsi="Times New Roman" w:cs="Times New Roman"/>
          <w:sz w:val="24"/>
          <w:szCs w:val="24"/>
        </w:rPr>
        <w:t xml:space="preserve"> </w:t>
      </w:r>
    </w:p>
    <w:p w:rsidR="000C03D8" w:rsidRPr="000C03D8" w:rsidRDefault="000C03D8" w:rsidP="000C03D8">
      <w:pPr>
        <w:spacing w:after="0" w:line="240" w:lineRule="auto"/>
        <w:rPr>
          <w:rFonts w:ascii="Times New Roman" w:hAnsi="Times New Roman" w:cs="Times New Roman"/>
          <w:sz w:val="24"/>
          <w:szCs w:val="24"/>
        </w:rPr>
      </w:pPr>
    </w:p>
    <w:p w:rsidR="000C03D8" w:rsidRPr="000C03D8" w:rsidRDefault="000C03D8" w:rsidP="000C03D8">
      <w:pPr>
        <w:spacing w:after="0" w:line="240" w:lineRule="auto"/>
        <w:rPr>
          <w:rFonts w:ascii="Times New Roman" w:hAnsi="Times New Roman" w:cs="Times New Roman"/>
          <w:b/>
          <w:sz w:val="32"/>
          <w:szCs w:val="24"/>
          <w:u w:val="single"/>
        </w:rPr>
      </w:pPr>
      <w:r w:rsidRPr="000C03D8">
        <w:rPr>
          <w:rFonts w:ascii="Times New Roman" w:hAnsi="Times New Roman" w:cs="Times New Roman"/>
          <w:b/>
          <w:sz w:val="32"/>
          <w:szCs w:val="24"/>
          <w:u w:val="single"/>
        </w:rPr>
        <w:t xml:space="preserve">Tangible Property Not Subject to Capitalization: </w:t>
      </w:r>
    </w:p>
    <w:p w:rsidR="000C03D8" w:rsidRPr="000C03D8" w:rsidRDefault="000C03D8" w:rsidP="000C03D8">
      <w:pPr>
        <w:spacing w:after="0" w:line="240" w:lineRule="auto"/>
        <w:rPr>
          <w:rFonts w:ascii="Times New Roman" w:hAnsi="Times New Roman" w:cs="Times New Roman"/>
          <w:sz w:val="24"/>
          <w:szCs w:val="24"/>
        </w:rPr>
      </w:pPr>
      <w:r w:rsidRPr="000C03D8">
        <w:rPr>
          <w:rFonts w:ascii="Times New Roman" w:hAnsi="Times New Roman" w:cs="Times New Roman"/>
          <w:sz w:val="24"/>
          <w:szCs w:val="24"/>
        </w:rPr>
        <w:t xml:space="preserve"> </w:t>
      </w:r>
    </w:p>
    <w:p w:rsidR="000C03D8" w:rsidRDefault="000C03D8" w:rsidP="000C03D8">
      <w:pPr>
        <w:spacing w:after="0" w:line="240" w:lineRule="auto"/>
        <w:jc w:val="both"/>
        <w:rPr>
          <w:rFonts w:ascii="Times New Roman" w:hAnsi="Times New Roman" w:cs="Times New Roman"/>
          <w:b/>
          <w:sz w:val="24"/>
          <w:szCs w:val="24"/>
        </w:rPr>
      </w:pPr>
      <w:r w:rsidRPr="000C03D8">
        <w:rPr>
          <w:rFonts w:ascii="Times New Roman" w:hAnsi="Times New Roman" w:cs="Times New Roman"/>
          <w:b/>
          <w:sz w:val="24"/>
          <w:szCs w:val="24"/>
          <w:u w:val="single"/>
        </w:rPr>
        <w:t>Altern</w:t>
      </w:r>
      <w:r>
        <w:rPr>
          <w:rFonts w:ascii="Times New Roman" w:hAnsi="Times New Roman" w:cs="Times New Roman"/>
          <w:b/>
          <w:sz w:val="24"/>
          <w:szCs w:val="24"/>
          <w:u w:val="single"/>
        </w:rPr>
        <w:t>a</w:t>
      </w:r>
      <w:r w:rsidRPr="000C03D8">
        <w:rPr>
          <w:rFonts w:ascii="Times New Roman" w:hAnsi="Times New Roman" w:cs="Times New Roman"/>
          <w:b/>
          <w:sz w:val="24"/>
          <w:szCs w:val="24"/>
          <w:u w:val="single"/>
        </w:rPr>
        <w:t>tive 1:</w:t>
      </w:r>
      <w:r w:rsidRPr="000C03D8">
        <w:rPr>
          <w:rFonts w:ascii="Times New Roman" w:hAnsi="Times New Roman" w:cs="Times New Roman"/>
          <w:sz w:val="24"/>
          <w:szCs w:val="24"/>
          <w:u w:val="single"/>
        </w:rPr>
        <w:t xml:space="preserve"> </w:t>
      </w:r>
      <w:r w:rsidRPr="000C03D8">
        <w:rPr>
          <w:rFonts w:ascii="Times New Roman" w:hAnsi="Times New Roman" w:cs="Times New Roman"/>
          <w:b/>
          <w:sz w:val="24"/>
          <w:szCs w:val="24"/>
          <w:u w:val="single"/>
        </w:rPr>
        <w:t>De Minimis Amounts</w:t>
      </w:r>
      <w:r w:rsidRPr="000C03D8">
        <w:rPr>
          <w:rFonts w:ascii="Times New Roman" w:hAnsi="Times New Roman" w:cs="Times New Roman"/>
          <w:b/>
          <w:sz w:val="24"/>
          <w:szCs w:val="24"/>
        </w:rPr>
        <w:t>:</w:t>
      </w:r>
    </w:p>
    <w:p w:rsidR="000C03D8" w:rsidRDefault="000C03D8" w:rsidP="000C03D8">
      <w:pPr>
        <w:spacing w:after="0" w:line="240" w:lineRule="auto"/>
        <w:jc w:val="both"/>
        <w:rPr>
          <w:rFonts w:ascii="Times New Roman" w:hAnsi="Times New Roman" w:cs="Times New Roman"/>
          <w:sz w:val="24"/>
          <w:szCs w:val="24"/>
        </w:rPr>
      </w:pPr>
    </w:p>
    <w:p w:rsidR="000C03D8" w:rsidRPr="000C03D8" w:rsidRDefault="000C03D8" w:rsidP="000C03D8">
      <w:pPr>
        <w:spacing w:after="0" w:line="240" w:lineRule="auto"/>
        <w:jc w:val="both"/>
        <w:rPr>
          <w:rFonts w:ascii="Times New Roman" w:hAnsi="Times New Roman" w:cs="Times New Roman"/>
          <w:sz w:val="24"/>
          <w:szCs w:val="24"/>
        </w:rPr>
      </w:pPr>
      <w:r w:rsidRPr="000C03D8">
        <w:rPr>
          <w:rFonts w:ascii="Times New Roman" w:hAnsi="Times New Roman" w:cs="Times New Roman"/>
          <w:sz w:val="24"/>
          <w:szCs w:val="24"/>
        </w:rPr>
        <w:t xml:space="preserve">Amounts paid to acquire or produce tangible property not exceeding [a specified dollar amount] are to be charged to the appropriate de minimis property expense accounts. All tangible property expenditures with an acquisition or production cost under the stated threshold are to be charged to the expense accounts. This policy does not apply to land and property intended to be included in inventory. </w:t>
      </w:r>
    </w:p>
    <w:p w:rsidR="000C03D8" w:rsidRPr="000C03D8" w:rsidRDefault="000C03D8" w:rsidP="000C03D8">
      <w:pPr>
        <w:spacing w:after="0" w:line="240" w:lineRule="auto"/>
        <w:rPr>
          <w:rFonts w:ascii="Times New Roman" w:hAnsi="Times New Roman" w:cs="Times New Roman"/>
          <w:sz w:val="24"/>
          <w:szCs w:val="24"/>
        </w:rPr>
      </w:pPr>
      <w:r w:rsidRPr="000C03D8">
        <w:rPr>
          <w:rFonts w:ascii="Times New Roman" w:hAnsi="Times New Roman" w:cs="Times New Roman"/>
          <w:sz w:val="24"/>
          <w:szCs w:val="24"/>
        </w:rPr>
        <w:t xml:space="preserve"> </w:t>
      </w:r>
    </w:p>
    <w:p w:rsidR="000C03D8" w:rsidRDefault="000C03D8" w:rsidP="000C03D8">
      <w:pPr>
        <w:spacing w:after="0" w:line="240" w:lineRule="auto"/>
        <w:rPr>
          <w:rFonts w:ascii="Times New Roman" w:hAnsi="Times New Roman" w:cs="Times New Roman"/>
          <w:sz w:val="24"/>
          <w:szCs w:val="24"/>
        </w:rPr>
      </w:pPr>
      <w:r w:rsidRPr="000C03D8">
        <w:rPr>
          <w:rFonts w:ascii="Times New Roman" w:hAnsi="Times New Roman" w:cs="Times New Roman"/>
          <w:b/>
          <w:sz w:val="24"/>
          <w:szCs w:val="24"/>
          <w:u w:val="single"/>
        </w:rPr>
        <w:t>Alternative 2: De Minimis Amounts</w:t>
      </w:r>
      <w:r w:rsidRPr="000C03D8">
        <w:rPr>
          <w:rFonts w:ascii="Times New Roman" w:hAnsi="Times New Roman" w:cs="Times New Roman"/>
          <w:b/>
          <w:sz w:val="24"/>
          <w:szCs w:val="24"/>
        </w:rPr>
        <w:t>:</w:t>
      </w:r>
      <w:r>
        <w:rPr>
          <w:rFonts w:ascii="Times New Roman" w:hAnsi="Times New Roman" w:cs="Times New Roman"/>
          <w:sz w:val="24"/>
          <w:szCs w:val="24"/>
        </w:rPr>
        <w:t xml:space="preserve"> </w:t>
      </w:r>
      <w:r w:rsidRPr="000C03D8">
        <w:rPr>
          <w:rFonts w:ascii="Times New Roman" w:hAnsi="Times New Roman" w:cs="Times New Roman"/>
          <w:sz w:val="24"/>
          <w:szCs w:val="24"/>
        </w:rPr>
        <w:t xml:space="preserve"> </w:t>
      </w:r>
    </w:p>
    <w:p w:rsidR="000C03D8" w:rsidRDefault="000C03D8" w:rsidP="000C03D8">
      <w:pPr>
        <w:spacing w:after="0" w:line="240" w:lineRule="auto"/>
        <w:rPr>
          <w:rFonts w:ascii="Times New Roman" w:hAnsi="Times New Roman" w:cs="Times New Roman"/>
          <w:sz w:val="24"/>
          <w:szCs w:val="24"/>
        </w:rPr>
      </w:pPr>
    </w:p>
    <w:p w:rsidR="00E10356" w:rsidRPr="000C03D8" w:rsidRDefault="000C03D8" w:rsidP="000C03D8">
      <w:pPr>
        <w:spacing w:after="0" w:line="240" w:lineRule="auto"/>
        <w:jc w:val="both"/>
        <w:rPr>
          <w:rFonts w:ascii="Times New Roman" w:hAnsi="Times New Roman" w:cs="Times New Roman"/>
          <w:sz w:val="24"/>
          <w:szCs w:val="24"/>
        </w:rPr>
      </w:pPr>
      <w:r w:rsidRPr="000C03D8">
        <w:rPr>
          <w:rFonts w:ascii="Times New Roman" w:hAnsi="Times New Roman" w:cs="Times New Roman"/>
          <w:sz w:val="24"/>
          <w:szCs w:val="24"/>
        </w:rPr>
        <w:t>Amounts paid to acquire or produce tangible property</w:t>
      </w:r>
      <w:r>
        <w:rPr>
          <w:rFonts w:ascii="Times New Roman" w:hAnsi="Times New Roman" w:cs="Times New Roman"/>
          <w:sz w:val="24"/>
          <w:szCs w:val="24"/>
        </w:rPr>
        <w:t xml:space="preserve"> </w:t>
      </w:r>
      <w:r w:rsidRPr="000C03D8">
        <w:rPr>
          <w:rFonts w:ascii="Times New Roman" w:hAnsi="Times New Roman" w:cs="Times New Roman"/>
          <w:sz w:val="24"/>
          <w:szCs w:val="24"/>
        </w:rPr>
        <w:t xml:space="preserve">having an economic useful life (as defined in §1.162-3(c)(4)) of 12 months or less are to be charged to the appropriate de minimis property expense accounts. All tangible property expenditures with an acquisition or production cost under the stated threshold are to be charged to the expense accounts. This policy does not apply to land and property intended to be included in inventory. </w:t>
      </w:r>
      <w:r w:rsidRPr="000C03D8">
        <w:rPr>
          <w:rFonts w:ascii="Times New Roman" w:hAnsi="Times New Roman" w:cs="Times New Roman"/>
          <w:sz w:val="24"/>
          <w:szCs w:val="24"/>
        </w:rPr>
        <w:cr/>
      </w:r>
    </w:p>
    <w:sectPr w:rsidR="00E10356" w:rsidRPr="000C0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D8"/>
    <w:rsid w:val="000C03D8"/>
    <w:rsid w:val="000E0E6B"/>
    <w:rsid w:val="00906298"/>
    <w:rsid w:val="00E1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Derek Smith</cp:lastModifiedBy>
  <cp:revision>2</cp:revision>
  <dcterms:created xsi:type="dcterms:W3CDTF">2013-12-13T20:03:00Z</dcterms:created>
  <dcterms:modified xsi:type="dcterms:W3CDTF">2013-12-13T20:03:00Z</dcterms:modified>
</cp:coreProperties>
</file>